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06" w:rsidRPr="003F72A2" w:rsidRDefault="00A43006" w:rsidP="00A43006">
      <w:pPr>
        <w:pStyle w:val="BodyText"/>
        <w:spacing w:after="0"/>
        <w:rPr>
          <w:b/>
          <w:sz w:val="28"/>
          <w:szCs w:val="28"/>
        </w:rPr>
      </w:pPr>
      <w:bookmarkStart w:id="0" w:name="_Toc179018484"/>
      <w:bookmarkStart w:id="1" w:name="_Toc181188286"/>
      <w:bookmarkStart w:id="2" w:name="_Toc188777124"/>
      <w:r>
        <w:rPr>
          <w:b/>
          <w:sz w:val="28"/>
          <w:szCs w:val="28"/>
        </w:rPr>
        <w:t>Worksheet #4</w:t>
      </w:r>
      <w:r w:rsidRPr="003F72A2">
        <w:rPr>
          <w:b/>
          <w:sz w:val="28"/>
          <w:szCs w:val="28"/>
        </w:rPr>
        <w:t xml:space="preserve">: </w:t>
      </w:r>
      <w:bookmarkStart w:id="3" w:name="_Toc159990555"/>
      <w:bookmarkStart w:id="4" w:name="_Toc159990595"/>
      <w:bookmarkStart w:id="5" w:name="_Toc160858537"/>
      <w:bookmarkStart w:id="6" w:name="_Toc161456948"/>
      <w:bookmarkStart w:id="7" w:name="_Toc161480615"/>
      <w:bookmarkStart w:id="8" w:name="_Toc161480643"/>
      <w:bookmarkStart w:id="9" w:name="_Toc163287727"/>
      <w:r w:rsidRPr="003F72A2">
        <w:rPr>
          <w:b/>
          <w:sz w:val="28"/>
          <w:szCs w:val="28"/>
        </w:rPr>
        <w:t>Modes of Communication</w:t>
      </w:r>
      <w:bookmarkEnd w:id="0"/>
      <w:bookmarkEnd w:id="1"/>
      <w:bookmarkEnd w:id="2"/>
      <w:bookmarkEnd w:id="3"/>
      <w:bookmarkEnd w:id="4"/>
      <w:bookmarkEnd w:id="5"/>
      <w:bookmarkEnd w:id="6"/>
      <w:bookmarkEnd w:id="7"/>
      <w:bookmarkEnd w:id="8"/>
      <w:bookmarkEnd w:id="9"/>
    </w:p>
    <w:p w:rsidR="00A43006" w:rsidRDefault="00A43006" w:rsidP="00A43006">
      <w:pPr>
        <w:pStyle w:val="BodyText"/>
        <w:spacing w:after="0"/>
        <w:jc w:val="both"/>
      </w:pPr>
      <w:r w:rsidRPr="009E03B4">
        <w:t>Identify communication modes that support essential functions, including any alternative providers and modes of communication.  Communication systems already in place can be named as alternative modes for other modes of communication.  For example, radios could be an alternative mode of communication for voice lines.</w:t>
      </w:r>
    </w:p>
    <w:p w:rsidR="003E433D" w:rsidRDefault="003E433D" w:rsidP="00A43006">
      <w:pPr>
        <w:pStyle w:val="BodyText"/>
        <w:spacing w:after="0"/>
        <w:jc w:val="both"/>
      </w:pPr>
    </w:p>
    <w:p w:rsidR="003E433D" w:rsidRPr="003E433D" w:rsidRDefault="003E433D" w:rsidP="003E433D">
      <w:pPr>
        <w:spacing w:after="240"/>
        <w:jc w:val="both"/>
        <w:rPr>
          <w:b/>
          <w:color w:val="000000"/>
          <w:sz w:val="36"/>
          <w:szCs w:val="36"/>
        </w:rPr>
      </w:pPr>
      <w:r w:rsidRPr="003E433D">
        <w:rPr>
          <w:b/>
          <w:color w:val="000000"/>
          <w:sz w:val="36"/>
          <w:szCs w:val="36"/>
        </w:rPr>
        <w:t>Cabinet: ____________________                                   Agency: _______________________</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510"/>
        <w:gridCol w:w="2711"/>
        <w:gridCol w:w="2491"/>
        <w:gridCol w:w="2491"/>
      </w:tblGrid>
      <w:tr w:rsidR="00A43006" w:rsidRPr="00DA40C4" w:rsidTr="003E433D">
        <w:trPr>
          <w:cantSplit/>
          <w:trHeight w:val="504"/>
          <w:tblHeader/>
          <w:jc w:val="center"/>
        </w:trPr>
        <w:tc>
          <w:tcPr>
            <w:tcW w:w="2757"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43006" w:rsidRPr="00DA40C4" w:rsidRDefault="00A43006" w:rsidP="00AB7104">
            <w:pPr>
              <w:jc w:val="center"/>
              <w:rPr>
                <w:rFonts w:ascii="Arial" w:hAnsi="Arial" w:cs="Arial"/>
                <w:b/>
                <w:color w:val="FFFFFF"/>
              </w:rPr>
            </w:pPr>
            <w:bookmarkStart w:id="10" w:name="_GoBack"/>
            <w:bookmarkEnd w:id="10"/>
            <w:r w:rsidRPr="00DA40C4">
              <w:rPr>
                <w:rFonts w:ascii="Arial" w:hAnsi="Arial" w:cs="Arial"/>
                <w:b/>
                <w:color w:val="FFFFFF"/>
                <w:sz w:val="22"/>
                <w:szCs w:val="22"/>
              </w:rPr>
              <w:t>Communication System</w:t>
            </w:r>
          </w:p>
        </w:tc>
        <w:tc>
          <w:tcPr>
            <w:tcW w:w="2510"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43006" w:rsidRPr="00DA40C4" w:rsidRDefault="00A43006" w:rsidP="00AB7104">
            <w:pPr>
              <w:jc w:val="center"/>
              <w:rPr>
                <w:rFonts w:ascii="Arial" w:hAnsi="Arial" w:cs="Arial"/>
                <w:b/>
                <w:color w:val="FFFFFF"/>
              </w:rPr>
            </w:pPr>
            <w:r w:rsidRPr="00DA40C4">
              <w:rPr>
                <w:rFonts w:ascii="Arial" w:hAnsi="Arial" w:cs="Arial"/>
                <w:b/>
                <w:color w:val="FFFFFF"/>
                <w:sz w:val="22"/>
                <w:szCs w:val="22"/>
              </w:rPr>
              <w:t>Current Provider</w:t>
            </w:r>
          </w:p>
        </w:tc>
        <w:tc>
          <w:tcPr>
            <w:tcW w:w="2711"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43006" w:rsidRPr="00DA40C4" w:rsidRDefault="00A43006" w:rsidP="00AB7104">
            <w:pPr>
              <w:jc w:val="center"/>
              <w:rPr>
                <w:rFonts w:ascii="Arial" w:hAnsi="Arial" w:cs="Arial"/>
                <w:b/>
                <w:color w:val="FFFFFF"/>
              </w:rPr>
            </w:pPr>
            <w:r w:rsidRPr="00DA40C4">
              <w:rPr>
                <w:rFonts w:ascii="Arial" w:hAnsi="Arial" w:cs="Arial"/>
                <w:b/>
                <w:color w:val="FFFFFF"/>
                <w:sz w:val="22"/>
                <w:szCs w:val="22"/>
              </w:rPr>
              <w:t>Restoration Contacts</w:t>
            </w:r>
          </w:p>
        </w:tc>
        <w:tc>
          <w:tcPr>
            <w:tcW w:w="2491"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43006" w:rsidRPr="00DA40C4" w:rsidRDefault="00A43006" w:rsidP="00AB7104">
            <w:pPr>
              <w:jc w:val="center"/>
              <w:rPr>
                <w:rFonts w:ascii="Arial" w:hAnsi="Arial" w:cs="Arial"/>
                <w:b/>
                <w:color w:val="FFFFFF"/>
              </w:rPr>
            </w:pPr>
            <w:r w:rsidRPr="00DA40C4">
              <w:rPr>
                <w:rFonts w:ascii="Arial" w:hAnsi="Arial" w:cs="Arial"/>
                <w:b/>
                <w:color w:val="FFFFFF"/>
                <w:sz w:val="22"/>
                <w:szCs w:val="22"/>
              </w:rPr>
              <w:t>Alternative Mode #1</w:t>
            </w:r>
          </w:p>
        </w:tc>
        <w:tc>
          <w:tcPr>
            <w:tcW w:w="2491"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43006" w:rsidRPr="00DA40C4" w:rsidRDefault="00A43006" w:rsidP="00AB7104">
            <w:pPr>
              <w:jc w:val="center"/>
              <w:rPr>
                <w:rFonts w:ascii="Arial" w:hAnsi="Arial" w:cs="Arial"/>
                <w:b/>
                <w:color w:val="FFFFFF"/>
              </w:rPr>
            </w:pPr>
            <w:r w:rsidRPr="00DA40C4">
              <w:rPr>
                <w:rFonts w:ascii="Arial" w:hAnsi="Arial" w:cs="Arial"/>
                <w:b/>
                <w:color w:val="FFFFFF"/>
                <w:sz w:val="22"/>
                <w:szCs w:val="22"/>
              </w:rPr>
              <w:t>Alternative Mode #2</w:t>
            </w:r>
          </w:p>
        </w:tc>
      </w:tr>
      <w:tr w:rsidR="00A43006" w:rsidRPr="00DA40C4" w:rsidTr="003E433D">
        <w:trPr>
          <w:cantSplit/>
          <w:trHeight w:val="504"/>
          <w:jc w:val="center"/>
        </w:trPr>
        <w:tc>
          <w:tcPr>
            <w:tcW w:w="2757" w:type="dxa"/>
            <w:tcBorders>
              <w:top w:val="single" w:sz="4" w:space="0" w:color="FFFFFF"/>
            </w:tcBorders>
            <w:vAlign w:val="center"/>
          </w:tcPr>
          <w:p w:rsidR="00A43006" w:rsidRPr="00DA40C4" w:rsidRDefault="00A43006" w:rsidP="00AB7104">
            <w:pPr>
              <w:rPr>
                <w:b/>
              </w:rPr>
            </w:pPr>
            <w:r w:rsidRPr="00DA40C4">
              <w:rPr>
                <w:b/>
              </w:rPr>
              <w:t>Voice Lines</w:t>
            </w:r>
          </w:p>
        </w:tc>
        <w:tc>
          <w:tcPr>
            <w:tcW w:w="2510" w:type="dxa"/>
            <w:tcBorders>
              <w:top w:val="single" w:sz="4" w:space="0" w:color="FFFFFF"/>
            </w:tcBorders>
            <w:vAlign w:val="center"/>
          </w:tcPr>
          <w:p w:rsidR="00A43006" w:rsidRPr="00DA40C4" w:rsidRDefault="00A43006" w:rsidP="00AB7104">
            <w:pPr>
              <w:rPr>
                <w:i/>
              </w:rPr>
            </w:pPr>
          </w:p>
        </w:tc>
        <w:tc>
          <w:tcPr>
            <w:tcW w:w="2711" w:type="dxa"/>
            <w:tcBorders>
              <w:top w:val="single" w:sz="4" w:space="0" w:color="FFFFFF"/>
            </w:tcBorders>
            <w:vAlign w:val="center"/>
          </w:tcPr>
          <w:p w:rsidR="00A43006" w:rsidRPr="00DA40C4" w:rsidRDefault="00A43006" w:rsidP="00AB7104">
            <w:pPr>
              <w:rPr>
                <w:i/>
              </w:rPr>
            </w:pPr>
          </w:p>
        </w:tc>
        <w:tc>
          <w:tcPr>
            <w:tcW w:w="2491" w:type="dxa"/>
            <w:tcBorders>
              <w:top w:val="single" w:sz="4" w:space="0" w:color="FFFFFF"/>
            </w:tcBorders>
            <w:vAlign w:val="center"/>
          </w:tcPr>
          <w:p w:rsidR="00A43006" w:rsidRPr="00894804" w:rsidRDefault="00A43006" w:rsidP="00AB7104"/>
        </w:tc>
        <w:tc>
          <w:tcPr>
            <w:tcW w:w="2491" w:type="dxa"/>
            <w:tcBorders>
              <w:top w:val="single" w:sz="4" w:space="0" w:color="FFFFFF"/>
            </w:tcBorders>
            <w:vAlign w:val="center"/>
          </w:tcPr>
          <w:p w:rsidR="00A43006" w:rsidRPr="00DA40C4" w:rsidRDefault="00A43006" w:rsidP="00AB7104">
            <w:pPr>
              <w:rPr>
                <w:i/>
              </w:rPr>
            </w:pPr>
          </w:p>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Fax Lines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Data Lines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Cellular telephones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Pagers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E-mail</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Internet Access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 xml:space="preserve">Instant Messenger Services </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43006">
            <w:pPr>
              <w:rPr>
                <w:b/>
              </w:rPr>
            </w:pPr>
            <w:r w:rsidRPr="00DA40C4">
              <w:rPr>
                <w:b/>
              </w:rPr>
              <w:t xml:space="preserve">Blackberry and Other </w:t>
            </w:r>
            <w:r>
              <w:rPr>
                <w:b/>
              </w:rPr>
              <w:t>Smart Phones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Radio Communication Systems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Satellite Telephones</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r w:rsidR="00A43006" w:rsidRPr="00DA40C4" w:rsidTr="003E433D">
        <w:trPr>
          <w:cantSplit/>
          <w:trHeight w:val="504"/>
          <w:jc w:val="center"/>
        </w:trPr>
        <w:tc>
          <w:tcPr>
            <w:tcW w:w="2757" w:type="dxa"/>
            <w:vAlign w:val="center"/>
          </w:tcPr>
          <w:p w:rsidR="00A43006" w:rsidRPr="00DA40C4" w:rsidRDefault="00A43006" w:rsidP="00AB7104">
            <w:pPr>
              <w:rPr>
                <w:b/>
              </w:rPr>
            </w:pPr>
            <w:r w:rsidRPr="00DA40C4">
              <w:rPr>
                <w:b/>
              </w:rPr>
              <w:t>Other</w:t>
            </w:r>
          </w:p>
        </w:tc>
        <w:tc>
          <w:tcPr>
            <w:tcW w:w="2510" w:type="dxa"/>
            <w:vAlign w:val="center"/>
          </w:tcPr>
          <w:p w:rsidR="00A43006" w:rsidRPr="00894804" w:rsidRDefault="00A43006" w:rsidP="00AB7104"/>
        </w:tc>
        <w:tc>
          <w:tcPr>
            <w:tcW w:w="2711" w:type="dxa"/>
            <w:vAlign w:val="center"/>
          </w:tcPr>
          <w:p w:rsidR="00A43006" w:rsidRPr="00894804" w:rsidRDefault="00A43006" w:rsidP="00AB7104"/>
        </w:tc>
        <w:tc>
          <w:tcPr>
            <w:tcW w:w="2491" w:type="dxa"/>
            <w:vAlign w:val="center"/>
          </w:tcPr>
          <w:p w:rsidR="00A43006" w:rsidRPr="00894804" w:rsidRDefault="00A43006" w:rsidP="00AB7104"/>
        </w:tc>
        <w:tc>
          <w:tcPr>
            <w:tcW w:w="2491" w:type="dxa"/>
            <w:vAlign w:val="center"/>
          </w:tcPr>
          <w:p w:rsidR="00A43006" w:rsidRPr="00894804" w:rsidRDefault="00A43006" w:rsidP="00AB7104"/>
        </w:tc>
      </w:tr>
    </w:tbl>
    <w:p w:rsidR="00624A2A" w:rsidRDefault="00624A2A" w:rsidP="003E433D"/>
    <w:sectPr w:rsidR="00624A2A" w:rsidSect="00A430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06"/>
    <w:rsid w:val="003E433D"/>
    <w:rsid w:val="00624A2A"/>
    <w:rsid w:val="00A4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06BD9-654B-430E-8E23-235F37FD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
    <w:basedOn w:val="Normal"/>
    <w:link w:val="BodyTextChar"/>
    <w:uiPriority w:val="99"/>
    <w:rsid w:val="00A43006"/>
    <w:pPr>
      <w:spacing w:after="240"/>
      <w:jc w:val="center"/>
    </w:pPr>
    <w:rPr>
      <w:szCs w:val="20"/>
    </w:rPr>
  </w:style>
  <w:style w:type="character" w:customStyle="1" w:styleId="BodyTextChar">
    <w:name w:val="Body Text Char"/>
    <w:aliases w:val="Char1 Char"/>
    <w:basedOn w:val="DefaultParagraphFont"/>
    <w:link w:val="BodyText"/>
    <w:uiPriority w:val="99"/>
    <w:rsid w:val="00A4300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a6211d9-0b14-41cb-8348-3a9b66ef9624">
      <Value>2012 Great Central US Shakeout</Value>
    </Category>
    <Earthquake_x0020_Document_x0020_Library xmlns="1a6211d9-0b14-41cb-8348-3a9b66ef9624">false</Earthquake_x0020_Document_x0020_Libra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64985-72AF-464E-95A5-3F838D1E081A}"/>
</file>

<file path=customXml/itemProps2.xml><?xml version="1.0" encoding="utf-8"?>
<ds:datastoreItem xmlns:ds="http://schemas.openxmlformats.org/officeDocument/2006/customXml" ds:itemID="{FDA14FCB-6BA1-4972-BCD5-3F2FED3CC5FB}"/>
</file>

<file path=customXml/itemProps3.xml><?xml version="1.0" encoding="utf-8"?>
<ds:datastoreItem xmlns:ds="http://schemas.openxmlformats.org/officeDocument/2006/customXml" ds:itemID="{9FC64CA5-687F-44E3-82CF-0B16E794EE2B}"/>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693</Characters>
  <Application>Microsoft Office Word</Application>
  <DocSecurity>0</DocSecurity>
  <Lines>5</Lines>
  <Paragraphs>1</Paragraphs>
  <ScaleCrop>false</ScaleCrop>
  <Company>United States Army</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Robert E NFG NGKY</dc:creator>
  <cp:keywords/>
  <dc:description/>
  <cp:lastModifiedBy>Baldwin, Robert E NFG NGKY</cp:lastModifiedBy>
  <cp:revision>2</cp:revision>
  <dcterms:created xsi:type="dcterms:W3CDTF">2019-03-18T14:43:00Z</dcterms:created>
  <dcterms:modified xsi:type="dcterms:W3CDTF">2019-03-18T14:46:00Z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0x010100020351182912AF4E9366576DAFC4CB89</vt:lpwstr>
  </property>
</Properties>
</file>